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085041"/>
          <w:sz w:val="52"/>
          <w:szCs w:val="52"/>
        </w:rPr>
        <w:t xml:space="preserve">RetailMind 360</w:t>
      </w:r>
    </w:p>
    <w:p>
      <w:pPr>
        <w:spacing w:before="0" w:after="40"/>
      </w:pPr>
      <w:r>
        <w:rPr>
          <w:rFonts w:ascii="Arial" w:cs="Arial" w:eastAsia="Arial" w:hAnsi="Arial"/>
          <w:color w:val="5F5E5A"/>
          <w:sz w:val="28"/>
          <w:szCs w:val="28"/>
        </w:rPr>
        <w:t xml:space="preserve">Desglose de Roles, Tareas y Estimaciones — Enfoque B (2 Etapas)</w:t>
      </w:r>
    </w:p>
    <w:p>
      <w:pPr>
        <w:pBdr>
          <w:bottom w:val="single" w:color="1D9E75" w:sz="12" w:space="6"/>
        </w:pBdr>
        <w:spacing w:before="0" w:after="40"/>
      </w:pPr>
      <w:r>
        <w:rPr>
          <w:rFonts w:ascii="Arial" w:cs="Arial" w:eastAsia="Arial" w:hAnsi="Arial"/>
          <w:i/>
          <w:iCs/>
          <w:color w:val="185FA5"/>
          <w:sz w:val="22"/>
          <w:szCs w:val="22"/>
        </w:rPr>
        <w:t xml:space="preserve">Cloud-First · Delta Lake Managed Tables · Databricks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6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Este documento define los cuatro roles necesarios para ejecutar el MVP de RetailMind 360 con el Enfoque B (2 etapas): pipeline Medallion + RFM/ABC/NPS integrado en Databricks (Etapa 1) y Clustering K-Means en Python/Scikit-Learn (Etapa 2). Incluye skills requeridos, configuración de ambiente, tareas de diseño y desarrollo con entregables, estimación de horas y costos, y criterios de testing por rol.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1D9E75" w:sz="8" w:space="4"/>
        </w:pBdr>
        <w:spacing w:before="360" w:after="160"/>
      </w:pPr>
      <w:r>
        <w:rPr>
          <w:rFonts w:ascii="Arial" w:cs="Arial" w:eastAsia="Arial" w:hAnsi="Arial"/>
          <w:b/>
          <w:bCs/>
          <w:color w:val="085041"/>
          <w:sz w:val="36"/>
          <w:szCs w:val="36"/>
        </w:rPr>
        <w:t xml:space="preserve">Resumen ejecutivo — Estimación total del MVP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1800"/>
        <w:gridCol w:w="1600"/>
        <w:gridCol w:w="1360"/>
      </w:tblGrid>
      <w:tr>
        <w:tc>
          <w:tcPr>
            <w:tcW w:type="dxa" w:w="2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</w:t>
            </w:r>
          </w:p>
        </w:tc>
        <w:tc>
          <w:tcPr>
            <w:tcW w:type="dxa" w:w="1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1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Tarifa (USD/h)</w:t>
            </w:r>
          </w:p>
        </w:tc>
        <w:tc>
          <w:tcPr>
            <w:tcW w:type="dxa" w:w="16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 estimado</w:t>
            </w:r>
          </w:p>
        </w:tc>
        <w:tc>
          <w:tcPr>
            <w:tcW w:type="dxa" w:w="13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 principal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Data Architect / Project Lead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60 – 80 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$80 – 120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$4,800 – $9,600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Todos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Data Engineer (ETL)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120 – 160 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$60 – 90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$7,200 – $14,400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1, 2, 3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Data Analyst / BI Developer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80 – 100 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$45 – 65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$3,600 – $6,500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2, 3, 4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Data Scientist (ML)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60 – 80 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$75 – 110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$4,500 – $8,800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3, 4</w:t>
            </w:r>
          </w:p>
        </w:tc>
      </w:tr>
      <w:tr>
        <w:tc>
          <w:tcPr>
            <w:tcW w:type="dxa" w:w="2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TOTAL MVP</w:t>
            </w:r>
          </w:p>
        </w:tc>
        <w:tc>
          <w:tcPr>
            <w:tcW w:type="dxa" w:w="1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320 – 420 h</w:t>
            </w:r>
          </w:p>
        </w:tc>
        <w:tc>
          <w:tcPr>
            <w:tcW w:type="dxa" w:w="1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$20,100 – $39,300</w:t>
            </w:r>
          </w:p>
        </w:tc>
        <w:tc>
          <w:tcPr>
            <w:tcW w:type="dxa" w:w="13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4 sprints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Las estimaciones de horas incluyen diseño, desarrollo, testing y correcciones. El rango bajo asume un equipo senior sin curva de aprendizaje significativa. El rango alto incluye iteraciones, reuniones y documentación. Los costos son tarifas freelance estándar de mercado latinoamericano/remoto; ajustar según contratación local o por proyecto.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pBdr>
          <w:bottom w:val="single" w:color="1D9E75" w:sz="8" w:space="4"/>
        </w:pBdr>
        <w:spacing w:before="360" w:after="160"/>
      </w:pPr>
      <w:r>
        <w:rPr>
          <w:rFonts w:ascii="Arial" w:cs="Arial" w:eastAsia="Arial" w:hAnsi="Arial"/>
          <w:b/>
          <w:bCs/>
          <w:color w:val="085041"/>
          <w:sz w:val="36"/>
          <w:szCs w:val="36"/>
        </w:rPr>
        <w:t xml:space="preserve">Plan de sprints — 12 semanas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900"/>
        <w:gridCol w:w="2200"/>
        <w:gridCol w:w="3260"/>
        <w:gridCol w:w="1800"/>
      </w:tblGrid>
      <w:tr>
        <w:tc>
          <w:tcPr>
            <w:tcW w:type="dxa" w:w="12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9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Semanas</w:t>
            </w:r>
          </w:p>
        </w:tc>
        <w:tc>
          <w:tcPr>
            <w:tcW w:type="dxa" w:w="22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Roles activos</w:t>
            </w:r>
          </w:p>
        </w:tc>
        <w:tc>
          <w:tcPr>
            <w:tcW w:type="dxa" w:w="32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Entregables clave</w:t>
            </w:r>
          </w:p>
        </w:tc>
        <w:tc>
          <w:tcPr>
            <w:tcW w:type="dxa" w:w="1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 de salida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Sprint 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 – 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Architect + Engineer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Ambiente configurado. Bronze completo. Silver limpio.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Bronze y Silver ejecutan sin errores sobre dataset real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Sprint 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4 – 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Engineer + Analyst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Gold RFM + ABC + NPS. Dataset conectado en Power BI.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Gold table disponible. Dashboard página 1 y 2 operativas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Sprint 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 – 9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Engineer + Analyst + Scientist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Gold estable. Clustering EDA + modelo K seleccionado.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Silhouette score &gt; 0.35. cluster_id escrito en Gold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Sprint 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 – 12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Analyst + Scientist + Lead</w:t>
            </w:r>
          </w:p>
        </w:tc>
        <w:tc>
          <w:tcPr>
            <w:tcW w:type="dxa" w:w="3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completo. Reporte de clusters. Validación final.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Pipeline end-to-end validado. Demo con datos reales del cliente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Cada sprint cierra con un gate de salida que debe aprobarse antes de continuar. El Project Lead valida cada gate. Si un gate falla, el sprint se extiende hasta resolverlo — no se avanza con deuda técnica.</w:t>
      </w:r>
    </w:p>
    <w:p>
      <w:r>
        <w:br w:type="page"/>
      </w:r>
    </w:p>
    <w:p>
      <w:pPr>
        <w:pStyle w:val="Heading1"/>
        <w:pBdr>
          <w:bottom w:val="single" w:color="1D9E75" w:sz="8" w:space="4"/>
        </w:pBdr>
        <w:spacing w:before="360" w:after="160"/>
      </w:pPr>
      <w:r>
        <w:rPr>
          <w:rFonts w:ascii="Arial" w:cs="Arial" w:eastAsia="Arial" w:hAnsi="Arial"/>
          <w:b/>
          <w:bCs/>
          <w:color w:val="085041"/>
          <w:sz w:val="36"/>
          <w:szCs w:val="36"/>
        </w:rPr>
        <w:t xml:space="preserve">Desglose detallado por rol</w:t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085041"/>
          <w:sz w:val="30"/>
          <w:szCs w:val="30"/>
        </w:rPr>
        <w:t xml:space="preserve">Rol 1 — Data Architect / Project Lead</w:t>
      </w:r>
    </w:p>
    <w:p>
      <w:pPr>
        <w:pBdr>
          <w:left w:val="single" w:color="1D9E75" w:sz="20" w:space="6"/>
        </w:pBdr>
        <w:spacing w:before="60" w:after="100"/>
        <w:ind w:left="20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Responsable del diseño global de la arquitectura, gobierno del proyecto y coordinación entre roles. En este equipo: tú.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Tarifa/hora (USD)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 estimado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Dedicación MVP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60 – 80 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$80 – 120/h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$4,800 – $9,600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Permanente — todos los sprints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Skills requeridos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Diseño de arquitecturas de datos (Medallion / Lakehouse)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Databricks: workspace management, Unity Catalog, Delta Lake Managed Tables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SQL avanzado: DDL, DML, window functions, optimización de queries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GitHub: branching strategy, pull requests, code review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Gestión de proyectos ágiles: sprints, backlog, definition of done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Modelado dimensional: star schema, fact/dimension tables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Documentación técnica y comunicación con stakeholders no técnicos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Configuración del ambiente de trabajo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cuenta Databricks Community Edition (o escalar a Azure Databricks si el cliente lo requiere)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workspace: clusters, runtime 13.x LTS con Delta Lake 3.x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Habilitar Unity Catalog para gobierno de datos y linaje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repositorio GitHub: retailmind360 — rama main + develop + feature/*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GitHub Actions para CI básico: lint de notebooks y validación de schema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estructura de carpetas en DBFS: /bronze, /silver, /gold, /checkpoints, /logs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archivo de configuración central: config.yaml con parámetros de entorno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secrets en Databricks: tokens, credenciales de fuentes de datos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Establecer nomenclatura de tablas: {capa}_{dominio}_{entidad} (ej: gold_customer_segment)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Documentar ADR (Architecture Decision Records) en GitHub Wiki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diseño (IA asistido)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modelo de datos completo: entidades, atributos, relaciones y cardinalidades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el contrato de la tabla Gold: columnas, tipos, nullability, partición y Z-ORDER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estrategia de particionamiento: por fecha (year/month) y cliente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esquema de versionado de datos con Delta Time Travel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SLAs de pipeline: ventana de procesamiento, tolerancia a fallos, alertas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matriz de responsabilidades RACI para cada tarea del proyecto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Validar el diseño de cada notebook con el Data Engineer antes del desarrollo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desarrollo y entregables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1000"/>
        <w:gridCol w:w="1860"/>
      </w:tblGrid>
      <w:tr>
        <w:tc>
          <w:tcPr>
            <w:tcW w:type="dxa" w:w="35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Entregable</w:t>
            </w:r>
          </w:p>
        </w:tc>
        <w:tc>
          <w:tcPr>
            <w:tcW w:type="dxa" w:w="1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</w:t>
            </w:r>
          </w:p>
        </w:tc>
        <w:tc>
          <w:tcPr>
            <w:tcW w:type="dxa" w:w="18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 de aceptación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Crear y configurar workspace Databricks + Unity Catalog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Workspace operativo con catálogo habilitado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Cluster arranca en &lt; 3 min, Unity Catalog visible desde todos los roles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Diseñar modelo dimensional completo (ERD)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Diagrama ERD + DDL SQL de todas las tablas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Revisado y aprobado por todo el equipo. Sin ambigüedades de tipos o relaciones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Configurar GitHub + branching strategy + CI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Repo con estructura de ramas y pipeline CI funcional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PR a develop dispara validación automática. Sin merge sin code review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Definir contrato Gold table (schema formal)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Documento de schema + constraints + reglas de negocio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Todos los campos tienen definición, tipo, ejemplo y responsable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Crear config.yaml centralizado y gestión de secrets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Archivo de configuración + secrets registrados en Databricks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3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Ningún credencial hardcodeado en notebooks. Config cargable desde cualquier notebook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Diseñar y documentar SLAs del pipeline ETL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Documento SLA: tiempos, alertas, política de reintentos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Cada etapa tiene tiempo máximo definido y acción ante fallo documentada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Coordinación semanal de sprints y revisión de entregables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Sprint review notes + backlog actualizado en GitHub Projects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Cada sprint cierra con entregables validados y próximas tareas priorizadas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Validación final de arquitectura end-to-end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Checklist de arquitectura firmado + documento de lecciones aprendidas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Pipeline completo ejecuta sin errores en dataset de prueba de 500K registros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Criterios de testing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workspace Databricks arranca un cluster en menos de 3 minutos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Unity Catalog es visible desde todos los notebooks y roles del proyecto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repositorio GitHub rechaza merges directos a main sin pull request aprobado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archivo config.yaml carga correctamente en todos los ambientes (dev/staging/prod)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Ningún notebook contiene credenciales, tokens o passwords en texto plano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modelo ERD no tiene ambigüedades de cardinalidad ni tipos inconsistentes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pipeline completo ejecuta de punta a punta con el dataset de prueba sin errores manuales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085041"/>
          <w:sz w:val="30"/>
          <w:szCs w:val="30"/>
        </w:rPr>
        <w:t xml:space="preserve">Rol 2 — Data Engineer (ETL Pipeline)</w:t>
      </w:r>
    </w:p>
    <w:p>
      <w:pPr>
        <w:pBdr>
          <w:left w:val="single" w:color="1D9E75" w:sz="20" w:space="6"/>
        </w:pBdr>
        <w:spacing w:before="60" w:after="100"/>
        <w:ind w:left="20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Construye y mantiene el pipeline Bronze → Silver → Gold en Databricks. Responsable de la calidad, integridad y disponibilidad del dato.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Tarifa/hora (USD)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 estimado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Dedicación MVP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120 – 160 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$60 – 90/h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$7,200 – $14,400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Intensivo — sprints 1, 2 y 3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Skills requeridos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PySpark: DataFrames, transformaciones, joins, agregaciones, UDFs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Delta Lake: ACID transactions, schema evolution, Time Travel, MERGE INTO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Python avanzado: funciones, clases, manejo de errores, logging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SQL: window functions, CTEs, aggregations, optimization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Databricks: notebooks, jobs, clusters, DBFS, Unity Catalog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Git: commits atómicos, branching, resolución de conflictos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Calidad de datos: Great Expectations o validaciones custom con PySpark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Formatos de datos: CSV, Parquet, JSON, Delta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Configuración del ambiente de trabajo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Clonar repositorio GitHub en Databricks Repos (integración nativa)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cluster personal con runtime compatible: Databricks 13.x + Python 3.10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librerías requeridas: great_expectations, delta, pydantic — via cluster init script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acceso a DBFS con estructura de carpetas definida por el Architect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Verificar acceso a Unity Catalog: permisos de lectura en Bronze, escritura en Silver y Gold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variables de entorno desde config.yaml usando dbutils.secrets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extensión Databricks en VS Code para desarrollo local con sincronización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notebook de sandbox personal para pruebas unitarias aisladas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diseño (IA asistido)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esquema de ingesta Bronze: definir cómo llegan los datos crudos (CSV batch, API, JDBC)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las reglas de calidad Silver: qué se limpia, qué se rechaza, qué se imputa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lógica de deduplicación: ventana temporal, llave compuesta por ticket_id + timestamp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flujo de MERGE INTO para actualizaciones incrementales en Gold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esquema de logging y monitoreo de cada etapa del pipeline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Revisar y validar el contrato Gold table definido por el Architect antes de implementar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desarrollo y entregables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1000"/>
        <w:gridCol w:w="1860"/>
      </w:tblGrid>
      <w:tr>
        <w:tc>
          <w:tcPr>
            <w:tcW w:type="dxa" w:w="35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Entregable</w:t>
            </w:r>
          </w:p>
        </w:tc>
        <w:tc>
          <w:tcPr>
            <w:tcW w:type="dxa" w:w="1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</w:t>
            </w:r>
          </w:p>
        </w:tc>
        <w:tc>
          <w:tcPr>
            <w:tcW w:type="dxa" w:w="18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 de aceptación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Bronze: ingesta de tickets CSV/raw a Delta Lake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nb_bronze_tickets.py — tabla bronze_raw_tickets creada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12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438K registros ingestados sin pérdida. Schema inferido y registrado en Unity Catalog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Bronze: ingesta de clientes y productos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nb_bronze_customers.py + nb_bronze_products.py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1K clientes y 124K productos cargados. Tipos correctos validados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Silver: limpieza y normalización de tickets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nb_silver_tickets.py — tabla silver_clean_tickets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20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0% nulls en campos críticos. Duplicados eliminados. Tipos y formatos estandarizados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Silver: enriquecimiento (join clientes + productos)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nb_silver_enriched.py — tabla silver_enriched_transactions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12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100% de tickets con customer_id y product_id resueltos o marcados como unknown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Gold: cálculo RFM por cliente y período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nb_gold_rfm.py — columnas R, F, M, score_r, score_f, score_m calculadas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Scores 1-5 distribuidos correctamente. Validado contra cálculo manual de muestra de 50 clientes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Gold: clasificación ABC de clientes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nb_gold_abc.py — columna clasificacion_abc (A/B/C)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Segmento A = top 20% de valor monetario. Porcentajes validados contra total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Gold: integración NPS y score de sentimiento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nb_gold_nps.py — columnas nps_score y nps_categoria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Promotores, Pasivos y Detractores correctamente clasificados según escala 0-10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Gold: tabla final fact_customer_segment (MERGE INTO)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nb_gold_merge.py — tabla gold_fact_customer_segment lista para consumo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MERGE INTO funciona en modo incremental. No hay duplicados. Particionada por periodo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de validación de calidad (Data Quality checks)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nb_dq_checks.py — reporte de calidad por etapa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12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Checks cubren: nulls, rangos, integridad referencial, distribuciones anómalas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Configurar Databricks Job para ejecución programada del pipeline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Job configurado con dependencias entre notebooks y alertas por email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Job ejecuta en orden correcto. Fallo en un notebook detiene el resto. Alerta enviada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Criterios de testing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Bronze: los 438K registros de tickets se cargan sin pérdida de filas ni corrupción de datos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Silver: el conteo de registros Silver es igual o menor a Bronze (nunca mayor — indica duplicados)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Silver: campos críticos (customer_id, ticket_id, fecha, monto) tienen 0% de valores nulos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Gold RFM: la suma de todos los clientes por segmento RFM cubre el 100% de la base activa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Gold ABC: el segmento A no supera el 20% de clientes y concentra al menos el 60% del valor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Gold NPS: la distribución Promotor/Pasivo/Detractor es coherente con el promedio de la encuesta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MERGE INTO: ejecutar dos veces seguidas produce el mismo resultado (idempotencia)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Job de Databricks completa el pipeline en menos de 30 minutos para 500K registros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Cualquier fallo en una etapa del pipeline genera log de error y no corrompe tablas ya escritas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085041"/>
          <w:sz w:val="30"/>
          <w:szCs w:val="30"/>
        </w:rPr>
        <w:t xml:space="preserve">Rol 3 — Data Analyst / BI Developer</w:t>
      </w:r>
    </w:p>
    <w:p>
      <w:pPr>
        <w:pBdr>
          <w:left w:val="single" w:color="1D9E75" w:sz="20" w:space="6"/>
        </w:pBdr>
        <w:spacing w:before="60" w:after="100"/>
        <w:ind w:left="20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Traduce la tabla Gold en inteligencia de negocio: métricas, segmentos, reportes y el dashboard RetailMind 360 en Power BI.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Tarifa/hora (USD)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 estimado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Dedicación MVP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80 – 100 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$45 – 65/h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$3,600 – $6,500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Sprints 2, 3 y 4 — paralelo con Data Engineer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Skills requeridos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Power BI Desktop: modelado de datos, relaciones, modo Import vs DirectQuery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DAX: medidas, columnas calculadas, CALCULATE, FILTER, time intelligence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SQL: queries de análisis sobre Delta Lake / Databricks SQL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Visualización de datos: principios de diseño, jerarquías, narrativa visual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Análisis de segmentos: interpretación de RFM, ABC, NPS en contexto de negocio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Excel / Google Sheets: validación de resultados y cálculos de referencia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Power BI Service o Report Server: publicación y gestión de workspaces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Configuración del ambiente de trabajo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Power BI Desktop (versión más reciente, gratuita)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conector Parquet para Power BI: nativo desde 2021, verificar versión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acceso de lectura a Unity Catalog en Databricks (rol: data reader en Gold)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workspace de Power BI Service (si el cliente usa Microsoft 365) o configurar Report Server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DAX Studio para debugging y optimización de medidas DAX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carpeta local de trabajo: /retailmind_pbi con archivo .pbix versionado en GitHub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Git para archivos .pbix (usar Power BI Enhanced Metadata para diff legible)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Descargar dataset de muestra (Gold Parquet) para desarrollo offline sin depender del cluster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diseño (IA asistido)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estructura del modelo de datos en Power BI: tablas de hechos y dimensiones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catálogo de métricas: qué se mide, cómo se calcula, cuál es el objetivo de cada KPI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los mockups de cada página del dashboard antes de construir (Figma o en papel)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la paleta de colores y tipografía del dashboard alineada con la marca del cliente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los filtros y slicers: período, segmento RFM, clasificación ABC, tienda/sucursal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Validar los mockups con el Project Lead antes de implementar para evitar re-trabajo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desarrollo y entregables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1000"/>
        <w:gridCol w:w="1860"/>
      </w:tblGrid>
      <w:tr>
        <w:tc>
          <w:tcPr>
            <w:tcW w:type="dxa" w:w="35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Entregable</w:t>
            </w:r>
          </w:p>
        </w:tc>
        <w:tc>
          <w:tcPr>
            <w:tcW w:type="dxa" w:w="1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</w:t>
            </w:r>
          </w:p>
        </w:tc>
        <w:tc>
          <w:tcPr>
            <w:tcW w:type="dxa" w:w="18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 de aceptación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Conectar Power BI a tabla Gold (Parquet export o Databricks SQL)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Dataset .pbix conectado y actualizable con datos reales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Refresh completa en menos de 2 minutos. Todas las columnas Gold disponibles en el modelo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Construir modelo dimensional en Power BI (relaciones, roles de seguridad)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Modelo estrella con fact_customer_segment + dimensiones de fecha, segmento, ABC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Sin relaciones ambiguas. Cardinalidades correctas. Row-level security configurado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Crear catálogo de medidas DAX core (RFM, churn risk, LTV estimado)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Archivo de medidas DAX documentado + implementado en el modelo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Cada medida tiene descripción, fórmula DAX y resultado validado contra SQL directo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Página 1: Resumen ejecutivo (KPIs principales)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Página con: clientes activos, revenue total, NPS promedio, tasa de retención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Todos los KPIs coinciden con cálculo manual en SQL. Carga en menos de 3 segundos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Página 2: Segmentación RFM (mapa de calor + distribución)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Visualización de 9 segmentos RFM con conteo, revenue y tendencia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10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Los segmentos suman el 100% de la base. Los colores reflejan valor de forma intuitiva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Página 3: Clientes en riesgo (churn detection)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Lista de clientes At Risk / Lost con días desde última compra y valor histórico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10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Lista exportable. Ordenada por valor en riesgo descendente. Actualizable por período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Página 4: Análisis ABC y top productos por segmento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Cruce de segmento RFM x clasificación ABC x top 10 productos comprados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Drill-through funcional desde segmento hasta detalle de cliente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Página 5: NPS y sentimiento por segmento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Distribución NPS por segmento RFM. Tendencia temporal. Alertas de detractores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NPS total coincide con cálculo estándar ((Promotores - Detractores) / Total * 100)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Publicar dashboard en Power BI Service / Report Server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Dashboard publicado, accesible con credenciales del cliente, refresh programado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Refresh automático diario funciona. Acceso por rol configurado (admin vs viewer)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Criterios de testing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refresh del dataset en Power BI completa en menos de 2 minutos con la tabla Gold completa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Todos los KPIs del dashboard coinciden con los resultados de las mismas queries en SQL directo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Los segmentos RFM en el dashboard suman exactamente el 100% de la base de clientes activos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NPS calculado en DAX coincide con la fórmula estándar validada en Excel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Los filtros de período afectan coherentemente todas las páginas del dashboard (cross-filtering)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drill-through de segmento a detalle de cliente funciona sin errores en todos los segmentos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La exportación a Excel de la lista de clientes en riesgo contiene todos los campos requeridos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dashboard es legible en pantalla de 1920x1080 y en tablet (1024x768) sin scroll horizontal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before="320" w:after="100"/>
      </w:pPr>
      <w:r>
        <w:rPr>
          <w:rFonts w:ascii="Arial" w:cs="Arial" w:eastAsia="Arial" w:hAnsi="Arial"/>
          <w:b/>
          <w:bCs/>
          <w:color w:val="085041"/>
          <w:sz w:val="30"/>
          <w:szCs w:val="30"/>
        </w:rPr>
        <w:t xml:space="preserve">Rol 4 — Data Scientist (ML / Clustering)</w:t>
      </w:r>
    </w:p>
    <w:p>
      <w:pPr>
        <w:pBdr>
          <w:left w:val="single" w:color="1D9E75" w:sz="20" w:space="6"/>
        </w:pBdr>
        <w:spacing w:before="60" w:after="100"/>
        <w:ind w:left="200"/>
      </w:pPr>
      <w:r>
        <w:rPr>
          <w:rFonts w:ascii="Arial" w:cs="Arial" w:eastAsia="Arial" w:hAnsi="Arial"/>
          <w:i/>
          <w:iCs/>
          <w:color w:val="5F5E5A"/>
          <w:sz w:val="20"/>
          <w:szCs w:val="20"/>
        </w:rPr>
        <w:t xml:space="preserve">Desarrolla el modelo de clustering K-Means sobre la tabla Gold para segmentación avanzada. Consume Gold directamente — no interviene en el ETL.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Tarifa/hora (USD)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 estimado</w:t>
            </w:r>
          </w:p>
        </w:tc>
        <w:tc>
          <w:tcPr>
            <w:tcW w:type="dxa" w:w="234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Dedicación MVP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60 – 80 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$75 – 110/h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$4,500 – $8,800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Sprint 3 y 4 — cuando Gold está estable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Skills requeridos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Python: pandas, numpy, matplotlib, seaborn para exploración y visualización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Scikit-Learn: KMeans, StandardScaler, silhouette_score, PCA para reducción dimensional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Estadística aplicada: distribuciones, correlaciones, interpretación de clusters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Delta Lake / PySpark: lectura de tablas Parquet desde Databricks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MLflow (opcional Databricks): tracking de experimentos, registro de modelos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Jupyter Notebooks: documentación de experimentos y presentación de hallazgos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Visualización de clusters: scatter plots 2D/3D, elbow method, heatmaps de centroides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Configuración del ambiente de trabajo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Acceso de lectura a Unity Catalog: permiso sobre gold_fact_customer_segment únicamente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entorno Python: conda env o venv con scikit-learn 1.3+, pandas 2.x, mlflow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Instalar extensión Python en VS Code + Jupyter extension para notebooks locales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Configurar MLflow tracking server en Databricks (ya incluido en workspace)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Crear carpeta en GitHub: /ml/clustering/ con estructura: notebooks/, models/, reports/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Descargar snapshot de Gold table en Parquet para desarrollo offline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Verificar que el cluster de Databricks tiene acceso a MLflow registry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diseño (IA asistido)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el conjunto de features para el modelo: cuáles columnas Gold usar (R, F, M, NPS, ABC numérico)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estrategia de normalización: StandardScaler vs MinMaxScaler según distribución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experimento de selección de K: rango de K a probar, métricas de evaluación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Definir criterios de interpretabilidad: cada cluster debe tener un perfil de negocio describible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el output del modelo: columna cluster_id en Gold + tabla de centroides + perfil de cada cluster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Diseñar la estrategia de reentrenamiento: frecuencia, triggers, umbral de drift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Tareas de desarrollo y entregables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1000"/>
        <w:gridCol w:w="1860"/>
      </w:tblGrid>
      <w:tr>
        <w:tc>
          <w:tcPr>
            <w:tcW w:type="dxa" w:w="35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3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Entregable</w:t>
            </w:r>
          </w:p>
        </w:tc>
        <w:tc>
          <w:tcPr>
            <w:tcW w:type="dxa" w:w="10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Horas</w:t>
            </w:r>
          </w:p>
        </w:tc>
        <w:tc>
          <w:tcPr>
            <w:tcW w:type="dxa" w:w="18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 de aceptación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Exploración y análisis descriptivo de la tabla Gold (EDA)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EDA con distribuciones, correlaciones y outliers documentados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10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Cubre 100% de las columnas Gold. Identifica outliers y propone tratamiento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Feature engineering: selección y transformación de variables para clustering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feature_engineering.py con features normalizadas listas para modelo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Sin features altamente correlacionadas (r &gt; 0.95). Escala homogénea verificada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Experimento K-Means: selección óptima de K (elbow + silhouette)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kmeans_selection.py + gráficos de elbow y silhouette exportados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12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K seleccionado tiene silhouette score &gt; 0.35. Decisión documentada y justificada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Entrenamiento del modelo final y perfilado de clusters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Modelo entrenado registrado en MLflow + tabla de centroides + descripción de cada cluster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12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Cada cluster tiene un perfil de negocio claro: nombre, comportamiento, estrategia recomendada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Escribir cluster_id de regreso en Gold table (MERGE INTO)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 write_clusters.py — columna cluster_id y cluster_name en Gold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6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100% de clientes tienen cluster asignado. MERGE es idempotente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Reporte de hallazgos de clustering para stakeholders de negocio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Notebook/PDF con visualizaciones de clusters, perfiles y recomendaciones accionables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8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Presentable a un gerente comercial sin conocimiento técnico. Incluye casos de uso por cluster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Documentar pipeline de reentrenamiento y criterios de drift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Documento: cuándo reentrenar, cómo detectar drift, procedimiento de actualización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5FA5"/>
                <w:sz w:val="19"/>
                <w:szCs w:val="19"/>
              </w:rPr>
              <w:t xml:space="preserve">4 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Cualquier miembro del equipo puede seguir el procedimiento sin supervisión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3"/>
        <w:spacing w:before="200" w:after="8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Criterios de testing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modelo se ejecuta completamente sobre la tabla Gold sin errores en menos de 10 minutos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silhouette score del modelo final es mayor a 0.35 (clustering significativo)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Cada cluster tiene al menos el 5% de la base de clientes (sin clusters triviales o vacíos)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Los centroides de los clusters son interpretables en términos de negocio (R, F, M distinguibles)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La columna cluster_id se escribe correctamente en Gold: 100% de clientes con valor asignado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Ejecutar el notebook de clustering dos veces produce el mismo resultado (semilla fija definida)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MLflow registra el experimento correctamente: parámetros, métricas y artefactos disponibles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 reporte de hallazgos es comprensible para un gerente comercial sin background técnico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1D9E75" w:sz="8" w:space="4"/>
        </w:pBdr>
        <w:spacing w:before="360" w:after="160"/>
      </w:pPr>
      <w:r>
        <w:rPr>
          <w:rFonts w:ascii="Arial" w:cs="Arial" w:eastAsia="Arial" w:hAnsi="Arial"/>
          <w:b/>
          <w:bCs/>
          <w:color w:val="085041"/>
          <w:sz w:val="36"/>
          <w:szCs w:val="36"/>
        </w:rPr>
        <w:t xml:space="preserve">Notas de arquitectura y decisiones clave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Decisión</w:t>
            </w:r>
          </w:p>
        </w:tc>
        <w:tc>
          <w:tcPr>
            <w:tcW w:type="dxa" w:w="65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Delta Lake Managed Tables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Todas las tablas Bronze, Silver y Gold se crean como Managed Tables en Unity Catalog. Esto garantiza gobernanza centralizada, linaje automático y control de acceso por rol sin configuración adicional.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Idempotencia obligatoria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Todos los notebooks deben ser idempotentes: ejecutar dos veces produce el mismo resultado. Usar MERGE INTO en lugar de overwrite para Gold. Usar CREATE TABLE IF NOT EXISTS para Bronze y Silver.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Semilla fija en ML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El modelo K-Means se entrena con random_state=42 en todos los experimentos para garantizar reproducibilidad. Cualquier cambio de semilla debe documentarse en MLflow como nuevo experimento.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Sin credenciales en código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Ningún notebook, script o archivo de configuración puede contener tokens, passwords o connection strings en texto plano. Usar exclusivamente dbutils.secrets o variables de entorno del cluster.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Versionado de notebooks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Los notebooks de Databricks se sincronizan con GitHub via Databricks Repos. Cada feature se desarrolla en una rama feature/nombre-tarea y se integra via pull request con revisión del Architect.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85041"/>
                <w:sz w:val="19"/>
                <w:szCs w:val="19"/>
              </w:rPr>
              <w:t xml:space="preserve">Estrategia de refresh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FE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El pipeline completo (Bronze → Gold) se ejecuta como Databricks Job programado. Frecuencia recomendada: diaria en horario de baja carga (2:00 AM). El cluster se apaga automáticamente al finalizar.</w:t>
            </w:r>
          </w:p>
        </w:tc>
      </w:tr>
    </w:tbl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top w:val="single" w:color="CCCCCC" w:sz="4" w:space="6"/>
        </w:pBdr>
        <w:spacing w:before="120" w:after="0"/>
      </w:pPr>
      <w:r>
        <w:rPr>
          <w:rFonts w:ascii="Arial" w:cs="Arial" w:eastAsia="Arial" w:hAnsi="Arial"/>
          <w:i/>
          <w:iCs/>
          <w:color w:val="5F5E5A"/>
          <w:sz w:val="17"/>
          <w:szCs w:val="17"/>
        </w:rPr>
        <w:t xml:space="preserve">RetailMind 360 — Documento de arquitectura v1.0 | Confidencial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F5E5A"/>
        <w:sz w:val="17"/>
        <w:szCs w:val="17"/>
      </w:rPr>
      <w:t xml:space="preserve">Confidencial — Uso interno</w:t>
    </w:r>
    <w:r>
      <w:rPr>
        <w:rFonts w:ascii="Arial" w:cs="Arial" w:eastAsia="Arial" w:hAnsi="Arial"/>
        <w:color w:val="5F5E5A"/>
        <w:sz w:val="17"/>
        <w:szCs w:val="17"/>
      </w:rPr>
      <w:t xml:space="preserve">	Página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D9E75" w:sz="4" w:space="4"/>
      </w:pBdr>
    </w:pPr>
    <w:r>
      <w:rPr>
        <w:rFonts w:ascii="Arial" w:cs="Arial" w:eastAsia="Arial" w:hAnsi="Arial"/>
        <w:color w:val="5F5E5A"/>
        <w:sz w:val="17"/>
        <w:szCs w:val="17"/>
      </w:rPr>
      <w:t xml:space="preserve">RetailMind 360 — Roles, Tareas y Estimaciones MVP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08504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185FA5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34AB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2026-03-28T04:15:37.149Z</dcterms:created>
  <dcterms:modified xsi:type="dcterms:W3CDTF">2026-03-28T04:15:37.150Z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